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066" w:rsidRPr="00A96361" w:rsidRDefault="009D0066" w:rsidP="009D0066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  <w:bookmarkStart w:id="0" w:name="_GoBack"/>
      <w:bookmarkEnd w:id="0"/>
    </w:p>
    <w:p w:rsidR="009D0066" w:rsidRPr="00A96361" w:rsidRDefault="009D0066" w:rsidP="009D0066">
      <w:pPr>
        <w:spacing w:after="0" w:line="240" w:lineRule="auto"/>
        <w:ind w:left="5664"/>
        <w:jc w:val="center"/>
        <w:rPr>
          <w:bCs/>
          <w:sz w:val="28"/>
          <w:szCs w:val="28"/>
          <w:bdr w:val="none" w:sz="0" w:space="0" w:color="auto" w:frame="1"/>
          <w:lang w:val="ru-RU"/>
        </w:rPr>
      </w:pPr>
      <w:r w:rsidRPr="00A96361">
        <w:rPr>
          <w:bCs/>
          <w:sz w:val="28"/>
          <w:szCs w:val="28"/>
          <w:bdr w:val="none" w:sz="0" w:space="0" w:color="auto" w:frame="1"/>
          <w:lang w:val="ru-RU"/>
        </w:rPr>
        <w:t xml:space="preserve">Утверждены </w:t>
      </w:r>
    </w:p>
    <w:p w:rsidR="009D0066" w:rsidRPr="00A96361" w:rsidRDefault="009D0066" w:rsidP="009D0066">
      <w:pPr>
        <w:spacing w:after="0" w:line="240" w:lineRule="auto"/>
        <w:ind w:left="5664"/>
        <w:jc w:val="center"/>
        <w:rPr>
          <w:bCs/>
          <w:sz w:val="28"/>
          <w:szCs w:val="28"/>
          <w:bdr w:val="none" w:sz="0" w:space="0" w:color="auto" w:frame="1"/>
          <w:lang w:val="ru-RU"/>
        </w:rPr>
      </w:pPr>
      <w:r w:rsidRPr="00A96361">
        <w:rPr>
          <w:bCs/>
          <w:sz w:val="28"/>
          <w:szCs w:val="28"/>
          <w:bdr w:val="none" w:sz="0" w:space="0" w:color="auto" w:frame="1"/>
          <w:lang w:val="ru-RU"/>
        </w:rPr>
        <w:t xml:space="preserve">совместным приказом </w:t>
      </w:r>
    </w:p>
    <w:p w:rsidR="009D0066" w:rsidRPr="00A96361" w:rsidRDefault="009D0066" w:rsidP="009D0066">
      <w:pPr>
        <w:spacing w:after="0" w:line="240" w:lineRule="auto"/>
        <w:ind w:left="5664"/>
        <w:jc w:val="center"/>
        <w:rPr>
          <w:bCs/>
          <w:sz w:val="28"/>
          <w:szCs w:val="28"/>
          <w:bdr w:val="none" w:sz="0" w:space="0" w:color="auto" w:frame="1"/>
          <w:lang w:val="kk-KZ"/>
        </w:rPr>
      </w:pPr>
      <w:r w:rsidRPr="00A96361">
        <w:rPr>
          <w:bCs/>
          <w:sz w:val="28"/>
          <w:szCs w:val="28"/>
          <w:bdr w:val="none" w:sz="0" w:space="0" w:color="auto" w:frame="1"/>
          <w:lang w:val="kk-KZ"/>
        </w:rPr>
        <w:t xml:space="preserve">  Министра финансов </w:t>
      </w:r>
    </w:p>
    <w:p w:rsidR="009D0066" w:rsidRDefault="009D0066" w:rsidP="009D0066">
      <w:pPr>
        <w:spacing w:after="0" w:line="240" w:lineRule="auto"/>
        <w:ind w:left="5664"/>
        <w:jc w:val="center"/>
        <w:rPr>
          <w:bCs/>
          <w:sz w:val="28"/>
          <w:szCs w:val="28"/>
          <w:bdr w:val="none" w:sz="0" w:space="0" w:color="auto" w:frame="1"/>
          <w:lang w:val="kk-KZ"/>
        </w:rPr>
      </w:pPr>
      <w:r w:rsidRPr="00A96361">
        <w:rPr>
          <w:bCs/>
          <w:sz w:val="28"/>
          <w:szCs w:val="28"/>
          <w:bdr w:val="none" w:sz="0" w:space="0" w:color="auto" w:frame="1"/>
          <w:lang w:val="kk-KZ"/>
        </w:rPr>
        <w:t xml:space="preserve">Республики Казахстан </w:t>
      </w:r>
    </w:p>
    <w:p w:rsidR="009D0066" w:rsidRPr="00A96361" w:rsidRDefault="009D0066" w:rsidP="009D0066">
      <w:pPr>
        <w:spacing w:after="0" w:line="240" w:lineRule="auto"/>
        <w:ind w:left="5664"/>
        <w:jc w:val="center"/>
        <w:rPr>
          <w:bCs/>
          <w:sz w:val="28"/>
          <w:szCs w:val="28"/>
          <w:bdr w:val="none" w:sz="0" w:space="0" w:color="auto" w:frame="1"/>
          <w:lang w:val="ru-RU"/>
        </w:rPr>
      </w:pPr>
      <w:r w:rsidRPr="00A96361">
        <w:rPr>
          <w:bCs/>
          <w:sz w:val="28"/>
          <w:szCs w:val="28"/>
          <w:bdr w:val="none" w:sz="0" w:space="0" w:color="auto" w:frame="1"/>
          <w:lang w:val="ru-RU"/>
        </w:rPr>
        <w:t>от «__» ____ 2024 года № ___</w:t>
      </w:r>
    </w:p>
    <w:p w:rsidR="009D0066" w:rsidRDefault="009D0066" w:rsidP="009D0066">
      <w:pPr>
        <w:spacing w:after="0" w:line="240" w:lineRule="auto"/>
        <w:ind w:left="5664"/>
        <w:jc w:val="center"/>
        <w:rPr>
          <w:bCs/>
          <w:sz w:val="28"/>
          <w:szCs w:val="28"/>
          <w:bdr w:val="none" w:sz="0" w:space="0" w:color="auto" w:frame="1"/>
          <w:lang w:val="kk-KZ"/>
        </w:rPr>
      </w:pPr>
      <w:r w:rsidRPr="00A96361">
        <w:rPr>
          <w:bCs/>
          <w:sz w:val="28"/>
          <w:szCs w:val="28"/>
          <w:bdr w:val="none" w:sz="0" w:space="0" w:color="auto" w:frame="1"/>
          <w:lang w:val="kk-KZ"/>
        </w:rPr>
        <w:t xml:space="preserve">и  </w:t>
      </w:r>
    </w:p>
    <w:p w:rsidR="009D0066" w:rsidRPr="00A96361" w:rsidRDefault="009D0066" w:rsidP="009D0066">
      <w:pPr>
        <w:spacing w:after="0" w:line="240" w:lineRule="auto"/>
        <w:ind w:left="5664"/>
        <w:jc w:val="center"/>
        <w:rPr>
          <w:bCs/>
          <w:sz w:val="28"/>
          <w:szCs w:val="28"/>
          <w:bdr w:val="none" w:sz="0" w:space="0" w:color="auto" w:frame="1"/>
          <w:lang w:val="kk-KZ"/>
        </w:rPr>
      </w:pPr>
      <w:r w:rsidRPr="00A96361">
        <w:rPr>
          <w:bCs/>
          <w:sz w:val="28"/>
          <w:szCs w:val="28"/>
          <w:bdr w:val="none" w:sz="0" w:space="0" w:color="auto" w:frame="1"/>
          <w:lang w:val="kk-KZ"/>
        </w:rPr>
        <w:t>Министра цифрового развития,</w:t>
      </w:r>
    </w:p>
    <w:p w:rsidR="009D0066" w:rsidRPr="00A96361" w:rsidRDefault="009D0066" w:rsidP="009D0066">
      <w:pPr>
        <w:spacing w:after="0" w:line="240" w:lineRule="auto"/>
        <w:ind w:left="5664"/>
        <w:jc w:val="center"/>
        <w:rPr>
          <w:bCs/>
          <w:sz w:val="28"/>
          <w:szCs w:val="28"/>
          <w:bdr w:val="none" w:sz="0" w:space="0" w:color="auto" w:frame="1"/>
          <w:lang w:val="kk-KZ"/>
        </w:rPr>
      </w:pPr>
      <w:r w:rsidRPr="00A96361">
        <w:rPr>
          <w:bCs/>
          <w:sz w:val="28"/>
          <w:szCs w:val="28"/>
          <w:bdr w:val="none" w:sz="0" w:space="0" w:color="auto" w:frame="1"/>
          <w:lang w:val="kk-KZ"/>
        </w:rPr>
        <w:t>инноваций и аэрокосмической</w:t>
      </w:r>
    </w:p>
    <w:p w:rsidR="009D0066" w:rsidRPr="00A96361" w:rsidRDefault="009D0066" w:rsidP="009D0066">
      <w:pPr>
        <w:spacing w:after="0" w:line="240" w:lineRule="auto"/>
        <w:ind w:left="5664"/>
        <w:jc w:val="center"/>
        <w:rPr>
          <w:bCs/>
          <w:sz w:val="28"/>
          <w:szCs w:val="28"/>
          <w:bdr w:val="none" w:sz="0" w:space="0" w:color="auto" w:frame="1"/>
          <w:lang w:val="kk-KZ"/>
        </w:rPr>
      </w:pPr>
      <w:r w:rsidRPr="00A96361">
        <w:rPr>
          <w:bCs/>
          <w:sz w:val="28"/>
          <w:szCs w:val="28"/>
          <w:bdr w:val="none" w:sz="0" w:space="0" w:color="auto" w:frame="1"/>
          <w:lang w:val="kk-KZ"/>
        </w:rPr>
        <w:t xml:space="preserve">промышленности </w:t>
      </w:r>
    </w:p>
    <w:p w:rsidR="009D0066" w:rsidRPr="00A96361" w:rsidRDefault="009D0066" w:rsidP="009D0066">
      <w:pPr>
        <w:spacing w:after="0" w:line="240" w:lineRule="auto"/>
        <w:ind w:left="5664"/>
        <w:jc w:val="center"/>
        <w:rPr>
          <w:bCs/>
          <w:sz w:val="28"/>
          <w:szCs w:val="28"/>
          <w:bdr w:val="none" w:sz="0" w:space="0" w:color="auto" w:frame="1"/>
          <w:lang w:val="ru-RU"/>
        </w:rPr>
      </w:pPr>
      <w:r w:rsidRPr="00A96361">
        <w:rPr>
          <w:bCs/>
          <w:sz w:val="28"/>
          <w:szCs w:val="28"/>
          <w:bdr w:val="none" w:sz="0" w:space="0" w:color="auto" w:frame="1"/>
          <w:lang w:val="kk-KZ"/>
        </w:rPr>
        <w:t>Республики Казахстан</w:t>
      </w:r>
    </w:p>
    <w:p w:rsidR="009D0066" w:rsidRPr="00A96361" w:rsidRDefault="009D0066" w:rsidP="009D0066">
      <w:pPr>
        <w:spacing w:after="0" w:line="240" w:lineRule="auto"/>
        <w:ind w:left="5664"/>
        <w:jc w:val="center"/>
        <w:rPr>
          <w:bCs/>
          <w:sz w:val="28"/>
          <w:szCs w:val="28"/>
          <w:bdr w:val="none" w:sz="0" w:space="0" w:color="auto" w:frame="1"/>
          <w:lang w:val="ru-RU"/>
        </w:rPr>
      </w:pPr>
      <w:r w:rsidRPr="00A96361">
        <w:rPr>
          <w:bCs/>
          <w:sz w:val="28"/>
          <w:szCs w:val="28"/>
          <w:bdr w:val="none" w:sz="0" w:space="0" w:color="auto" w:frame="1"/>
          <w:lang w:val="ru-RU"/>
        </w:rPr>
        <w:t>от «__» ____ 2024 года № ___</w:t>
      </w:r>
    </w:p>
    <w:p w:rsidR="009D0066" w:rsidRPr="00A96361" w:rsidRDefault="009D0066" w:rsidP="009D0066">
      <w:pPr>
        <w:spacing w:after="0" w:line="240" w:lineRule="auto"/>
        <w:ind w:firstLine="708"/>
        <w:jc w:val="center"/>
        <w:rPr>
          <w:b/>
          <w:sz w:val="28"/>
          <w:lang w:val="ru-RU"/>
        </w:rPr>
      </w:pPr>
    </w:p>
    <w:p w:rsidR="009D0066" w:rsidRPr="00A96361" w:rsidRDefault="009D0066" w:rsidP="009D0066">
      <w:pPr>
        <w:spacing w:after="0" w:line="240" w:lineRule="auto"/>
        <w:ind w:firstLine="708"/>
        <w:jc w:val="center"/>
        <w:rPr>
          <w:b/>
          <w:sz w:val="28"/>
          <w:lang w:val="ru-RU"/>
        </w:rPr>
      </w:pPr>
    </w:p>
    <w:p w:rsidR="009D0066" w:rsidRPr="00A96361" w:rsidRDefault="009D0066" w:rsidP="009D0066">
      <w:pPr>
        <w:spacing w:after="0" w:line="240" w:lineRule="auto"/>
        <w:ind w:firstLine="708"/>
        <w:jc w:val="center"/>
        <w:rPr>
          <w:b/>
          <w:sz w:val="28"/>
          <w:lang w:val="ru-RU"/>
        </w:rPr>
      </w:pPr>
    </w:p>
    <w:p w:rsidR="009D0066" w:rsidRPr="00A96361" w:rsidRDefault="009D0066" w:rsidP="009D0066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A96361">
        <w:rPr>
          <w:b/>
          <w:sz w:val="28"/>
          <w:szCs w:val="28"/>
          <w:lang w:val="ru-RU"/>
        </w:rPr>
        <w:t>Правила и сроки реализации пилотного проекта по модернизации и совершенствованию оказания государственной услуги «Возврат налога на добавленную стоимость из бюджета» («Цифровой НДС»)</w:t>
      </w:r>
    </w:p>
    <w:p w:rsidR="009D0066" w:rsidRPr="00A96361" w:rsidRDefault="009D0066" w:rsidP="009D0066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9D0066" w:rsidRPr="00A96361" w:rsidRDefault="009D0066" w:rsidP="009D0066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bookmarkStart w:id="1" w:name="z15"/>
      <w:r w:rsidRPr="00A96361">
        <w:rPr>
          <w:b/>
          <w:sz w:val="28"/>
          <w:szCs w:val="28"/>
          <w:lang w:val="ru-RU"/>
        </w:rPr>
        <w:t>Глава 1. Общие положения</w:t>
      </w:r>
    </w:p>
    <w:p w:rsidR="009D0066" w:rsidRPr="00A96361" w:rsidRDefault="009D0066" w:rsidP="009D0066">
      <w:pPr>
        <w:spacing w:after="0" w:line="240" w:lineRule="auto"/>
        <w:ind w:firstLine="709"/>
        <w:rPr>
          <w:b/>
          <w:sz w:val="28"/>
          <w:szCs w:val="28"/>
          <w:lang w:val="ru-RU"/>
        </w:rPr>
      </w:pP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2" w:name="z16"/>
      <w:bookmarkEnd w:id="1"/>
      <w:r w:rsidRPr="00A96361">
        <w:rPr>
          <w:sz w:val="28"/>
          <w:szCs w:val="28"/>
          <w:lang w:val="ru-RU"/>
        </w:rPr>
        <w:t xml:space="preserve">1. Настоящие Правила и сроки реализации пилотного проекта по модернизации и совершенствованию оказания государственной услуги «Возврат налога на добавленную стоимость из бюджета» («Цифровой НДС») (далее – Правила) разработаны в соответствии с пунктом 1-1 статьи 68 Кодекса Республики Казахстан «О налогах и других обязательных платежах в бюджет» (Налоговый кодекс) и статьи 22 Закона Республики Казахстан </w:t>
      </w:r>
      <w:r>
        <w:rPr>
          <w:sz w:val="28"/>
          <w:szCs w:val="28"/>
          <w:lang w:val="ru-RU"/>
        </w:rPr>
        <w:t xml:space="preserve">                                               </w:t>
      </w:r>
      <w:r w:rsidRPr="00A96361">
        <w:rPr>
          <w:sz w:val="28"/>
          <w:szCs w:val="28"/>
          <w:lang w:val="ru-RU"/>
        </w:rPr>
        <w:t xml:space="preserve">«О государственных услугах» в целях модернизации и совершенствования возврата превышения налога на добавленную стоимость (далее – НДС) с </w:t>
      </w:r>
      <w:bookmarkEnd w:id="2"/>
      <w:r w:rsidRPr="00A96361">
        <w:rPr>
          <w:sz w:val="28"/>
          <w:szCs w:val="28"/>
          <w:lang w:val="ru-RU"/>
        </w:rPr>
        <w:t>использованием цифрового тенге.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2. В настоящих Правилах используются следующие основные понятия и сокращения:</w:t>
      </w:r>
      <w:bookmarkStart w:id="3" w:name="z18"/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 xml:space="preserve">1) </w:t>
      </w:r>
      <w:bookmarkStart w:id="4" w:name="z24"/>
      <w:bookmarkEnd w:id="3"/>
      <w:r w:rsidRPr="00A96361">
        <w:rPr>
          <w:color w:val="000000" w:themeColor="text1"/>
          <w:sz w:val="28"/>
          <w:szCs w:val="28"/>
          <w:lang w:val="ru-RU"/>
        </w:rPr>
        <w:t xml:space="preserve">электронные деньги (цифровой тенге) – выпущенные </w:t>
      </w:r>
      <w:r w:rsidRPr="00A96361">
        <w:rPr>
          <w:sz w:val="28"/>
          <w:szCs w:val="28"/>
          <w:lang w:val="ru-RU"/>
        </w:rPr>
        <w:t>Национальным Банком Республики Казахстан (далее – НБ)</w:t>
      </w:r>
      <w:r w:rsidRPr="00A96361">
        <w:rPr>
          <w:color w:val="000000" w:themeColor="text1"/>
          <w:sz w:val="28"/>
          <w:szCs w:val="28"/>
          <w:lang w:val="ru-RU"/>
        </w:rPr>
        <w:t xml:space="preserve">, хранящиеся в Системе </w:t>
      </w:r>
      <w:r w:rsidRPr="00A96361">
        <w:rPr>
          <w:sz w:val="28"/>
          <w:szCs w:val="28"/>
          <w:lang w:val="ru-RU"/>
        </w:rPr>
        <w:t xml:space="preserve">цифрового тенге в электронной форме электронные деньги, принимаемые в качестве средства платежа в Системе цифрового тенге </w:t>
      </w:r>
      <w:r w:rsidRPr="00A96361">
        <w:rPr>
          <w:color w:val="000000" w:themeColor="text1"/>
          <w:sz w:val="28"/>
          <w:szCs w:val="28"/>
          <w:lang w:val="ru-RU"/>
        </w:rPr>
        <w:t>(далее - цифровой тенге)</w:t>
      </w:r>
      <w:r w:rsidRPr="00A96361">
        <w:rPr>
          <w:sz w:val="28"/>
          <w:szCs w:val="28"/>
          <w:lang w:val="ru-RU"/>
        </w:rPr>
        <w:t>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 xml:space="preserve">2) Единый казначейский счет Цифрового тенге – позиция Комитета казначейства Министерства финансов Республики Казахстан </w:t>
      </w:r>
      <w:r w:rsidRPr="00A96361">
        <w:rPr>
          <w:color w:val="000000" w:themeColor="text1"/>
          <w:sz w:val="28"/>
          <w:szCs w:val="28"/>
          <w:lang w:val="ru-RU"/>
        </w:rPr>
        <w:t xml:space="preserve">в Системе </w:t>
      </w:r>
      <w:r w:rsidRPr="00A96361">
        <w:rPr>
          <w:sz w:val="28"/>
          <w:szCs w:val="28"/>
          <w:lang w:val="ru-RU"/>
        </w:rPr>
        <w:t>цифрового тенге для учета выпущенных Национальным Банком Республики Казахстан цифровых тенге (далее – ЕКС Цифрового тенге);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 xml:space="preserve">3) маркировка - процесс программирования цифровых тенге с установлением </w:t>
      </w:r>
      <w:bookmarkStart w:id="5" w:name="_Hlk172102576"/>
      <w:r w:rsidRPr="00A96361">
        <w:rPr>
          <w:sz w:val="28"/>
          <w:szCs w:val="28"/>
          <w:lang w:val="ru-RU"/>
        </w:rPr>
        <w:t>правил, условий и критериев обращения/использования цифровых тенге в Системе цифрового тенге</w:t>
      </w:r>
      <w:bookmarkEnd w:id="5"/>
      <w:r w:rsidRPr="00A96361">
        <w:rPr>
          <w:sz w:val="28"/>
          <w:szCs w:val="28"/>
          <w:lang w:val="ru-RU"/>
        </w:rPr>
        <w:t xml:space="preserve"> в соответствии с распоряжением </w:t>
      </w:r>
      <w:r w:rsidRPr="00A96361">
        <w:rPr>
          <w:sz w:val="28"/>
          <w:szCs w:val="28"/>
          <w:lang w:val="ru-RU"/>
        </w:rPr>
        <w:lastRenderedPageBreak/>
        <w:t>владельца средств либо лица, ответственного за использование средств, выступающих в качестве обеспечения эмитируемых Цифровых тенге;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bCs/>
          <w:sz w:val="28"/>
          <w:szCs w:val="28"/>
          <w:lang w:val="ru-RU"/>
        </w:rPr>
        <w:t xml:space="preserve">4) цифровой счет – позиция налогоплательщика в Системе </w:t>
      </w:r>
      <w:r w:rsidRPr="00A96361">
        <w:rPr>
          <w:sz w:val="28"/>
          <w:szCs w:val="28"/>
          <w:lang w:val="ru-RU"/>
        </w:rPr>
        <w:t xml:space="preserve">цифрового тенге </w:t>
      </w:r>
      <w:r w:rsidRPr="00A96361">
        <w:rPr>
          <w:bCs/>
          <w:sz w:val="28"/>
          <w:szCs w:val="28"/>
          <w:lang w:val="ru-RU"/>
        </w:rPr>
        <w:t>для учета выпущенных НБ электронных денег (цифровой тенге);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 xml:space="preserve">5) </w:t>
      </w:r>
      <w:r w:rsidRPr="00A96361">
        <w:rPr>
          <w:sz w:val="28"/>
          <w:szCs w:val="28"/>
          <w:lang w:val="kk-KZ"/>
        </w:rPr>
        <w:t xml:space="preserve">цифровой счет КГД МФ РК </w:t>
      </w:r>
      <w:r w:rsidRPr="00A96361">
        <w:rPr>
          <w:sz w:val="28"/>
          <w:szCs w:val="28"/>
          <w:lang w:val="ru-RU"/>
        </w:rPr>
        <w:t xml:space="preserve">– </w:t>
      </w:r>
      <w:r w:rsidRPr="00A96361">
        <w:rPr>
          <w:bCs/>
          <w:sz w:val="28"/>
          <w:szCs w:val="28"/>
          <w:lang w:val="ru-RU"/>
        </w:rPr>
        <w:t xml:space="preserve">позиция </w:t>
      </w:r>
      <w:r w:rsidRPr="00A96361">
        <w:rPr>
          <w:sz w:val="28"/>
          <w:szCs w:val="28"/>
          <w:lang w:val="ru-RU"/>
        </w:rPr>
        <w:t>Комитета государственных доходов Министерства финансов Республики Казахстан</w:t>
      </w:r>
      <w:r w:rsidRPr="00A96361">
        <w:rPr>
          <w:sz w:val="28"/>
          <w:szCs w:val="28"/>
          <w:lang w:val="kk-KZ"/>
        </w:rPr>
        <w:t xml:space="preserve"> (далее </w:t>
      </w:r>
      <w:r>
        <w:rPr>
          <w:sz w:val="28"/>
          <w:szCs w:val="28"/>
          <w:lang w:val="kk-KZ"/>
        </w:rPr>
        <w:t>–</w:t>
      </w:r>
      <w:r w:rsidRPr="00A96361">
        <w:rPr>
          <w:sz w:val="28"/>
          <w:szCs w:val="28"/>
          <w:lang w:val="kk-KZ"/>
        </w:rPr>
        <w:t xml:space="preserve"> КГД)</w:t>
      </w:r>
      <w:r w:rsidRPr="00A96361">
        <w:rPr>
          <w:sz w:val="28"/>
          <w:szCs w:val="28"/>
          <w:lang w:val="ru-RU"/>
        </w:rPr>
        <w:t xml:space="preserve"> </w:t>
      </w:r>
      <w:r w:rsidRPr="00A96361">
        <w:rPr>
          <w:bCs/>
          <w:sz w:val="28"/>
          <w:szCs w:val="28"/>
          <w:lang w:val="ru-RU"/>
        </w:rPr>
        <w:t xml:space="preserve">в Системе </w:t>
      </w:r>
      <w:r w:rsidRPr="00A96361">
        <w:rPr>
          <w:sz w:val="28"/>
          <w:szCs w:val="28"/>
          <w:lang w:val="ru-RU"/>
        </w:rPr>
        <w:t>цифрового тенге для учета выпущенных НБ цифровых тенге, используемая для получения переводов от налогоплательщиков в бюджет по налоговым обязательствам в рамках пилота;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6) оператор Системы цифрового тенге – Акционерное общество «Национальная платежная корпорация Национального Банка Республики Казахстан» (далее – АО «НПК»);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 xml:space="preserve">7) Система электронных денег (далее – Система цифрового тенге) – </w:t>
      </w:r>
      <w:r w:rsidRPr="00A96361">
        <w:rPr>
          <w:bCs/>
          <w:sz w:val="28"/>
          <w:szCs w:val="28"/>
          <w:lang w:val="ru-RU"/>
        </w:rPr>
        <w:t>совокупность программно-технических средств для осуществления платежей и иных операций на территории Республики Казахстан с использованием электронных денег (цифровой тенге), выпущенных</w:t>
      </w:r>
      <w:r w:rsidRPr="00A96361">
        <w:rPr>
          <w:sz w:val="28"/>
          <w:szCs w:val="28"/>
          <w:lang w:val="ru-RU"/>
        </w:rPr>
        <w:t xml:space="preserve"> НБ.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color w:val="222222"/>
          <w:sz w:val="28"/>
          <w:szCs w:val="28"/>
          <w:lang w:val="ru-RU"/>
        </w:rPr>
      </w:pP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9D0066" w:rsidRPr="00A96361" w:rsidRDefault="009D0066" w:rsidP="009D0066">
      <w:pPr>
        <w:spacing w:after="0" w:line="240" w:lineRule="auto"/>
        <w:ind w:firstLine="709"/>
        <w:jc w:val="center"/>
        <w:rPr>
          <w:b/>
          <w:sz w:val="28"/>
          <w:szCs w:val="28"/>
          <w:lang w:val="ru-RU"/>
        </w:rPr>
      </w:pPr>
      <w:bookmarkStart w:id="6" w:name="z25"/>
      <w:bookmarkEnd w:id="4"/>
      <w:r w:rsidRPr="00A96361">
        <w:rPr>
          <w:b/>
          <w:sz w:val="28"/>
          <w:szCs w:val="28"/>
          <w:lang w:val="ru-RU"/>
        </w:rPr>
        <w:t>Глава 2. Участники пилотного проекта</w:t>
      </w:r>
    </w:p>
    <w:p w:rsidR="009D0066" w:rsidRPr="00A96361" w:rsidRDefault="009D0066" w:rsidP="009D0066">
      <w:pPr>
        <w:spacing w:after="0" w:line="240" w:lineRule="auto"/>
        <w:ind w:firstLine="709"/>
        <w:rPr>
          <w:sz w:val="28"/>
          <w:szCs w:val="28"/>
          <w:lang w:val="ru-RU"/>
        </w:rPr>
      </w:pPr>
    </w:p>
    <w:p w:rsidR="009D0066" w:rsidRPr="00A96361" w:rsidRDefault="009D0066" w:rsidP="009D0066">
      <w:pPr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bookmarkStart w:id="7" w:name="z26"/>
      <w:bookmarkEnd w:id="6"/>
      <w:r w:rsidRPr="00A96361">
        <w:rPr>
          <w:sz w:val="28"/>
          <w:szCs w:val="28"/>
          <w:lang w:val="ru-RU"/>
        </w:rPr>
        <w:t>3. Участниками пилотного проекта являются:</w:t>
      </w:r>
    </w:p>
    <w:p w:rsidR="009D0066" w:rsidRPr="00A96361" w:rsidRDefault="009D0066" w:rsidP="009D0066">
      <w:pPr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kk-KZ"/>
        </w:rPr>
        <w:t xml:space="preserve">1) </w:t>
      </w:r>
      <w:r w:rsidRPr="00A96361">
        <w:rPr>
          <w:sz w:val="28"/>
          <w:szCs w:val="28"/>
          <w:lang w:val="ru-RU"/>
        </w:rPr>
        <w:t>КГД;</w:t>
      </w:r>
      <w:bookmarkStart w:id="8" w:name="z28"/>
      <w:bookmarkEnd w:id="7"/>
    </w:p>
    <w:p w:rsidR="009D0066" w:rsidRPr="00A96361" w:rsidRDefault="009D0066" w:rsidP="009D0066">
      <w:pPr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2) органы государственных доходов по областям, городам республиканского значения и столице;</w:t>
      </w:r>
    </w:p>
    <w:p w:rsidR="009D0066" w:rsidRPr="00A96361" w:rsidRDefault="009D0066" w:rsidP="009D0066">
      <w:pPr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 xml:space="preserve">3) плательщики НДС, добровольно участвующие в пилотном проекте, (далее – </w:t>
      </w:r>
      <w:bookmarkStart w:id="9" w:name="_Hlk172215287"/>
      <w:r w:rsidRPr="00A96361">
        <w:rPr>
          <w:sz w:val="28"/>
          <w:szCs w:val="28"/>
          <w:lang w:val="ru-RU"/>
        </w:rPr>
        <w:t>налогоплательщики - участники пилотного проекта</w:t>
      </w:r>
      <w:bookmarkEnd w:id="9"/>
      <w:r w:rsidRPr="00A96361">
        <w:rPr>
          <w:sz w:val="28"/>
          <w:szCs w:val="28"/>
          <w:lang w:val="ru-RU"/>
        </w:rPr>
        <w:t>):</w:t>
      </w:r>
    </w:p>
    <w:p w:rsidR="009D0066" w:rsidRPr="00A96361" w:rsidRDefault="009D0066" w:rsidP="009D0066">
      <w:pPr>
        <w:pStyle w:val="a5"/>
        <w:tabs>
          <w:tab w:val="left" w:pos="1276"/>
        </w:tabs>
        <w:spacing w:after="0" w:line="240" w:lineRule="auto"/>
        <w:ind w:left="0" w:firstLine="851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 xml:space="preserve">указанные в пункте 12 настоящих Правил; </w:t>
      </w:r>
    </w:p>
    <w:p w:rsidR="009D0066" w:rsidRPr="00A96361" w:rsidRDefault="009D0066" w:rsidP="009D0066">
      <w:pPr>
        <w:pStyle w:val="a5"/>
        <w:tabs>
          <w:tab w:val="left" w:pos="1276"/>
        </w:tabs>
        <w:spacing w:after="0" w:line="240" w:lineRule="auto"/>
        <w:ind w:left="0" w:firstLine="851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непосредственные поставщики лиц, указанных в пункте 12 настоящих Правил, а также поставщики последующих уровней, имеющие налоговые обязательства по уплате НДС в бюджет по итогам отчетного периода;</w:t>
      </w:r>
    </w:p>
    <w:p w:rsidR="009D0066" w:rsidRPr="00A96361" w:rsidRDefault="009D0066" w:rsidP="009D0066">
      <w:pPr>
        <w:pStyle w:val="a5"/>
        <w:tabs>
          <w:tab w:val="left" w:pos="1276"/>
        </w:tabs>
        <w:spacing w:after="0" w:line="240" w:lineRule="auto"/>
        <w:ind w:left="0" w:firstLine="851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4) НБ;</w:t>
      </w:r>
    </w:p>
    <w:p w:rsidR="009D0066" w:rsidRPr="00A96361" w:rsidRDefault="009D0066" w:rsidP="009D0066">
      <w:pPr>
        <w:pStyle w:val="a5"/>
        <w:tabs>
          <w:tab w:val="left" w:pos="1276"/>
        </w:tabs>
        <w:spacing w:after="0" w:line="240" w:lineRule="auto"/>
        <w:ind w:left="0" w:firstLine="851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5) АО «НПК»;</w:t>
      </w:r>
    </w:p>
    <w:p w:rsidR="009D0066" w:rsidRPr="00A96361" w:rsidRDefault="009D0066" w:rsidP="009D0066">
      <w:pPr>
        <w:pStyle w:val="a5"/>
        <w:tabs>
          <w:tab w:val="left" w:pos="1276"/>
        </w:tabs>
        <w:spacing w:after="0" w:line="240" w:lineRule="auto"/>
        <w:ind w:left="0" w:firstLine="851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6) банки второго уровня, добровольно участвующие в пилотном проекте (далее – БВУ);</w:t>
      </w:r>
    </w:p>
    <w:p w:rsidR="009D0066" w:rsidRPr="00A96361" w:rsidRDefault="009D0066" w:rsidP="009D0066">
      <w:pPr>
        <w:pStyle w:val="a5"/>
        <w:tabs>
          <w:tab w:val="left" w:pos="1276"/>
        </w:tabs>
        <w:spacing w:after="0" w:line="240" w:lineRule="auto"/>
        <w:ind w:left="0" w:firstLine="851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7) Комитет казначейства Министерства финансов Республики Казахстан (далее – КК);</w:t>
      </w:r>
    </w:p>
    <w:p w:rsidR="009D0066" w:rsidRPr="00A96361" w:rsidRDefault="009D0066" w:rsidP="009D0066">
      <w:pPr>
        <w:pStyle w:val="a5"/>
        <w:tabs>
          <w:tab w:val="left" w:pos="1276"/>
        </w:tabs>
        <w:spacing w:after="0" w:line="240" w:lineRule="auto"/>
        <w:ind w:left="0" w:firstLine="851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8) юридические лица, занимающиеся разработкой учетных бухгалтерских систем и добровольно участвующие в пилотном проекте.</w:t>
      </w:r>
    </w:p>
    <w:p w:rsidR="009D0066" w:rsidRPr="00A96361" w:rsidRDefault="009D0066" w:rsidP="009D0066">
      <w:pPr>
        <w:pStyle w:val="a5"/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bookmarkStart w:id="10" w:name="z29"/>
      <w:bookmarkEnd w:id="8"/>
    </w:p>
    <w:p w:rsidR="009D0066" w:rsidRPr="00A96361" w:rsidRDefault="009D0066" w:rsidP="009D0066">
      <w:pPr>
        <w:pStyle w:val="a5"/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</w:p>
    <w:p w:rsidR="009D0066" w:rsidRPr="00A96361" w:rsidRDefault="009D0066" w:rsidP="009D0066">
      <w:pPr>
        <w:spacing w:after="0" w:line="240" w:lineRule="auto"/>
        <w:ind w:firstLine="709"/>
        <w:jc w:val="center"/>
        <w:rPr>
          <w:b/>
          <w:sz w:val="28"/>
          <w:szCs w:val="28"/>
          <w:lang w:val="ru-RU"/>
        </w:rPr>
      </w:pPr>
      <w:bookmarkStart w:id="11" w:name="z30"/>
      <w:bookmarkEnd w:id="10"/>
      <w:r w:rsidRPr="00A96361">
        <w:rPr>
          <w:b/>
          <w:sz w:val="28"/>
          <w:szCs w:val="28"/>
          <w:lang w:val="ru-RU"/>
        </w:rPr>
        <w:t>Глава 3. Права и обязанности участников пилотного проекта</w:t>
      </w:r>
    </w:p>
    <w:p w:rsidR="009D0066" w:rsidRPr="00A96361" w:rsidRDefault="009D0066" w:rsidP="009D0066">
      <w:pPr>
        <w:spacing w:after="0" w:line="240" w:lineRule="auto"/>
        <w:ind w:firstLine="709"/>
        <w:rPr>
          <w:b/>
          <w:sz w:val="28"/>
          <w:szCs w:val="28"/>
          <w:lang w:val="ru-RU"/>
        </w:rPr>
      </w:pP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12" w:name="z31"/>
      <w:bookmarkEnd w:id="11"/>
      <w:r w:rsidRPr="00A96361">
        <w:rPr>
          <w:sz w:val="28"/>
          <w:szCs w:val="28"/>
          <w:lang w:val="ru-RU"/>
        </w:rPr>
        <w:t>4. В рамках реализации пилотного проекта: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lastRenderedPageBreak/>
        <w:t xml:space="preserve">1) НБ осуществляет эмиссию </w:t>
      </w:r>
      <w:r w:rsidRPr="00A96361">
        <w:rPr>
          <w:sz w:val="28"/>
          <w:szCs w:val="28"/>
          <w:lang w:val="kk-KZ"/>
        </w:rPr>
        <w:t>и погашение</w:t>
      </w:r>
      <w:r w:rsidRPr="00A96361">
        <w:rPr>
          <w:sz w:val="28"/>
          <w:szCs w:val="28"/>
          <w:lang w:val="ru-RU"/>
        </w:rPr>
        <w:t xml:space="preserve"> цифровых тенге на основании соответствующих заявлений/реестра АО «НПК» на эмиссию/погашение цифровых тенге и платежных сообщений АО «НПК», сформированных по заявкам БВУ и КК;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2) АО «НПК»: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обеспечивает функционирование Системы в рамках исполнения функций Оператора Системы в соответствии с Правилами функционирования Системы цифрового тенге;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предоставляет разъяснения БВУ, участвующим в пилотном проекте и КК касательно взаимодействия с Системой;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13" w:name="z34"/>
      <w:bookmarkEnd w:id="12"/>
      <w:r w:rsidRPr="00A96361">
        <w:rPr>
          <w:sz w:val="28"/>
          <w:szCs w:val="28"/>
          <w:lang w:val="ru-RU"/>
        </w:rPr>
        <w:t>3) налогоплательщик – участник пилотного проекта: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14" w:name="z35"/>
      <w:bookmarkEnd w:id="13"/>
      <w:r w:rsidRPr="00A96361">
        <w:rPr>
          <w:sz w:val="28"/>
          <w:szCs w:val="28"/>
          <w:lang w:val="ru-RU"/>
        </w:rPr>
        <w:t>открывает цифровой счет в Системе через БВУ;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проводит расчеты с поставщиками с использованием цифрового тенге;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 xml:space="preserve">исполняет обязательства по уплате НДС в бюджет с использованием цифрового тенге; 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представляет требование о возврате превышения НДС, указанного в декларации по НДС;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15" w:name="z40"/>
      <w:bookmarkEnd w:id="14"/>
      <w:r w:rsidRPr="00A96361">
        <w:rPr>
          <w:sz w:val="28"/>
          <w:szCs w:val="28"/>
          <w:lang w:val="ru-RU"/>
        </w:rPr>
        <w:t>4)</w:t>
      </w:r>
      <w:bookmarkStart w:id="16" w:name="z42"/>
      <w:bookmarkEnd w:id="15"/>
      <w:r w:rsidRPr="00A96361">
        <w:rPr>
          <w:sz w:val="28"/>
          <w:szCs w:val="28"/>
          <w:lang w:val="ru-RU"/>
        </w:rPr>
        <w:t xml:space="preserve"> БВУ</w:t>
      </w:r>
      <w:bookmarkStart w:id="17" w:name="z43"/>
      <w:bookmarkEnd w:id="16"/>
      <w:r w:rsidRPr="00A96361">
        <w:rPr>
          <w:sz w:val="28"/>
          <w:szCs w:val="28"/>
          <w:lang w:val="ru-RU"/>
        </w:rPr>
        <w:t>:</w:t>
      </w:r>
    </w:p>
    <w:p w:rsidR="009D0066" w:rsidRPr="00A96361" w:rsidRDefault="009D0066" w:rsidP="009D0066">
      <w:pPr>
        <w:tabs>
          <w:tab w:val="left" w:pos="1276"/>
        </w:tabs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 xml:space="preserve">открывает </w:t>
      </w:r>
      <w:r>
        <w:rPr>
          <w:sz w:val="28"/>
          <w:szCs w:val="28"/>
          <w:lang w:val="ru-RU"/>
        </w:rPr>
        <w:t>цифровой счет налогоплательщика</w:t>
      </w:r>
      <w:r w:rsidRPr="00A96361">
        <w:rPr>
          <w:sz w:val="28"/>
          <w:szCs w:val="28"/>
          <w:lang w:val="ru-RU"/>
        </w:rPr>
        <w:t>-участника пилотного проекта в Системе;</w:t>
      </w:r>
    </w:p>
    <w:p w:rsidR="009D0066" w:rsidRPr="00A96361" w:rsidRDefault="009D0066" w:rsidP="009D0066">
      <w:pPr>
        <w:pStyle w:val="a5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осуществляет приём, переводы и платежи в цифровых тенге с использованием цифрового счета налогоплательщика-участника пилотного проекта в Системе путем направления запроса Оператору Системы цифрового тенге в соответствии с Правилами функционирования Системы цифрового тенге; осуществляет переводы в цифровом тенге от клиента в бюджет по налоговым обязательствам по НДС;</w:t>
      </w:r>
    </w:p>
    <w:p w:rsidR="009D0066" w:rsidRPr="00A96361" w:rsidRDefault="009D0066" w:rsidP="009D0066">
      <w:pPr>
        <w:pStyle w:val="a5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 xml:space="preserve">проводит, подписывает и осуществляет </w:t>
      </w:r>
      <w:proofErr w:type="spellStart"/>
      <w:r w:rsidRPr="00A96361">
        <w:rPr>
          <w:sz w:val="28"/>
          <w:szCs w:val="28"/>
          <w:lang w:val="ru-RU"/>
        </w:rPr>
        <w:t>валидацию</w:t>
      </w:r>
      <w:proofErr w:type="spellEnd"/>
      <w:r w:rsidRPr="00A96361">
        <w:rPr>
          <w:sz w:val="28"/>
          <w:szCs w:val="28"/>
          <w:lang w:val="ru-RU"/>
        </w:rPr>
        <w:t xml:space="preserve"> транзакции между налогоплательщиками– участниками пилотного проекта и платежей в бюджет;</w:t>
      </w:r>
    </w:p>
    <w:p w:rsidR="009D0066" w:rsidRPr="00A96361" w:rsidRDefault="009D0066" w:rsidP="009D0066">
      <w:pPr>
        <w:pStyle w:val="a5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маркирует цифровые тенге;</w:t>
      </w:r>
    </w:p>
    <w:p w:rsidR="009D0066" w:rsidRPr="00A96361" w:rsidRDefault="009D0066" w:rsidP="009D0066">
      <w:pPr>
        <w:pStyle w:val="a5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проверяет клиентские подписи;</w:t>
      </w:r>
    </w:p>
    <w:p w:rsidR="009D0066" w:rsidRPr="00A96361" w:rsidRDefault="009D0066" w:rsidP="009D0066">
      <w:pPr>
        <w:pStyle w:val="a5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хранит истории транзакции цифрового тенге;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 xml:space="preserve">5) КК открывает </w:t>
      </w:r>
      <w:bookmarkStart w:id="18" w:name="_Hlk172106559"/>
      <w:r w:rsidRPr="00A96361">
        <w:rPr>
          <w:sz w:val="28"/>
          <w:szCs w:val="28"/>
          <w:lang w:val="ru-RU"/>
        </w:rPr>
        <w:t>цифровой счет</w:t>
      </w:r>
      <w:bookmarkEnd w:id="18"/>
      <w:r w:rsidRPr="00A96361">
        <w:rPr>
          <w:sz w:val="28"/>
          <w:szCs w:val="28"/>
          <w:lang w:val="ru-RU"/>
        </w:rPr>
        <w:t xml:space="preserve"> КГД для обеспечения платежей в бюджет по НДС налогоплательщиков</w:t>
      </w:r>
      <w:r w:rsidRPr="00A96361">
        <w:rPr>
          <w:lang w:val="ru-RU"/>
        </w:rPr>
        <w:t>-</w:t>
      </w:r>
      <w:r w:rsidRPr="00A96361">
        <w:rPr>
          <w:sz w:val="28"/>
          <w:szCs w:val="28"/>
          <w:lang w:val="ru-RU"/>
        </w:rPr>
        <w:t>участников пилотного проекта;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6) органы государственных доходов: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19" w:name="z41"/>
      <w:r w:rsidRPr="00A96361">
        <w:rPr>
          <w:sz w:val="28"/>
          <w:szCs w:val="28"/>
          <w:lang w:val="ru-RU"/>
        </w:rPr>
        <w:t xml:space="preserve">предоставляют разъяснения </w:t>
      </w:r>
      <w:bookmarkEnd w:id="19"/>
      <w:r w:rsidRPr="00A96361">
        <w:rPr>
          <w:sz w:val="28"/>
          <w:szCs w:val="28"/>
          <w:lang w:val="ru-RU"/>
        </w:rPr>
        <w:t>по вопросам, связанным с проведением настоящего пилотного проекта;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передают в Систему сведения из информационных систем органов государственных доходов, связанных с реализацией пилотного проекта;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обрабатывают данные платежей, проведенных между налогоплательщиками-участниками пилотного проекта и их платежей в бюджет, полученные из Системы;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подтверждают и осуществляют возврат суммы превышения НДС в рамках реализации пилотного проекта.</w:t>
      </w:r>
    </w:p>
    <w:p w:rsidR="009D0066" w:rsidRPr="00A96361" w:rsidRDefault="009D0066" w:rsidP="009D0066">
      <w:pPr>
        <w:spacing w:after="0" w:line="240" w:lineRule="auto"/>
        <w:ind w:firstLine="709"/>
        <w:jc w:val="center"/>
        <w:rPr>
          <w:b/>
          <w:bCs/>
          <w:sz w:val="28"/>
          <w:szCs w:val="28"/>
          <w:bdr w:val="none" w:sz="0" w:space="0" w:color="auto" w:frame="1"/>
          <w:lang w:val="ru-RU"/>
        </w:rPr>
      </w:pPr>
      <w:bookmarkStart w:id="20" w:name="z49"/>
      <w:bookmarkEnd w:id="17"/>
      <w:r w:rsidRPr="00A96361">
        <w:rPr>
          <w:b/>
          <w:bCs/>
          <w:sz w:val="28"/>
          <w:szCs w:val="28"/>
          <w:bdr w:val="none" w:sz="0" w:space="0" w:color="auto" w:frame="1"/>
          <w:lang w:val="ru-RU"/>
        </w:rPr>
        <w:lastRenderedPageBreak/>
        <w:t>Глава 4. Порядок и сроки реализации пилотного проекта</w:t>
      </w:r>
    </w:p>
    <w:p w:rsidR="009D0066" w:rsidRPr="00A96361" w:rsidRDefault="009D0066" w:rsidP="009D0066">
      <w:pPr>
        <w:spacing w:after="0" w:line="240" w:lineRule="auto"/>
        <w:ind w:firstLine="709"/>
        <w:jc w:val="center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 xml:space="preserve">5. Согласием на участие налогоплательщика </w:t>
      </w:r>
      <w:bookmarkStart w:id="21" w:name="_Hlk172215496"/>
      <w:r w:rsidRPr="00A96361">
        <w:rPr>
          <w:sz w:val="28"/>
          <w:szCs w:val="28"/>
          <w:lang w:val="ru-RU"/>
        </w:rPr>
        <w:t xml:space="preserve">в настоящем пилотном проекте </w:t>
      </w:r>
      <w:bookmarkEnd w:id="21"/>
      <w:r w:rsidRPr="00A96361">
        <w:rPr>
          <w:bCs/>
          <w:sz w:val="28"/>
          <w:szCs w:val="28"/>
          <w:bdr w:val="none" w:sz="0" w:space="0" w:color="auto" w:frame="1"/>
          <w:lang w:val="ru-RU"/>
        </w:rPr>
        <w:t xml:space="preserve">является подтверждение платежа в цифровых тенге в соответствии с процедурой, указанной в пункте 10 Правил. 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bCs/>
          <w:sz w:val="28"/>
          <w:szCs w:val="28"/>
          <w:bdr w:val="none" w:sz="0" w:space="0" w:color="auto" w:frame="1"/>
          <w:lang w:val="ru-RU"/>
        </w:rPr>
      </w:pPr>
      <w:r w:rsidRPr="00A96361">
        <w:rPr>
          <w:bCs/>
          <w:sz w:val="28"/>
          <w:szCs w:val="28"/>
          <w:bdr w:val="none" w:sz="0" w:space="0" w:color="auto" w:frame="1"/>
          <w:lang w:val="ru-RU"/>
        </w:rPr>
        <w:t>Открытие БВУ в Системе налогоплательщику-участнику пилотного проекта цифрового счёта является согласием на передачу (обмен) данных (сведений), используемых в рамках настоящего пилотного проекта между участниками пилотного проекта, указанными в подпунктах 1), 3), 4), 5) и 6) пункта 3 настоящих Правил.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 xml:space="preserve">6. Налогоплательщик становится участником пилотного проекта с момента </w:t>
      </w:r>
      <w:r w:rsidRPr="00A96361">
        <w:rPr>
          <w:bCs/>
          <w:sz w:val="28"/>
          <w:szCs w:val="28"/>
          <w:bdr w:val="none" w:sz="0" w:space="0" w:color="auto" w:frame="1"/>
          <w:lang w:val="ru-RU"/>
        </w:rPr>
        <w:t>подтверждение платежа в цифровых тенге в соответствии с процедурой, указанной в пункте 10 Правил.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 xml:space="preserve">7. Налогоплательщик - участник пилотного проекта для пополнения цифрового счета в Системе приобретает цифровые тенге за счет денежных средств на текущем банковском счете. 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Расчеты по приобретенным товарам между налогоплательщиками-участниками пилотного проекта, осуществляются путем использования цифровых счетов в Системе.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8. Налогоплательщик - участник пилотного проекта, для перечисления денег со своего цифрового счета на цифровой счет поставщика товаров, в платежном документе, указывает регистрационный номер соответствующего ЭСФ. При этом налогоплательщик-участник пилотного проекта обеспечивает автоматическое формирование платежных документов в бухгалтерской системе или через интерфейсы каналов дистанционного банковского обслуживания БВУ.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При проведении платежа, в котором указан регистрационный номер ЭСФ, производится маркировка цифровых тенге на часть платежа (на сумму НДС в ЭСФ), устанавливающая ограничение их расходования на: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оплату НДС в бюджет на коды бюджетной классификации (далее – КБК) 105101, 105102, 105104, 105115;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оплату НДС в платеже с привязкой к ЭСФ другому плательщику НДС.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 xml:space="preserve">Для перечисления денег со своего цифрового счета в бюджет на КБК 105102 в платежном документе налогоплательщик - участник пилотного проекта указывает номер декларации на товары, на КБК 105104 – регистрационный номер ЭСФ, на КБК 105115 – регистрационный номер сопроводительной накладной на товары на импорт или номер и дата заявления о ввозе товаров. 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Перечисление НДС в бюджет осуществляется на цифровой счет КГД по распоряжению клиента БВУ.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КГД направляет заявку на перечисление суммы НДС в цифровом тенге с цифрового счета КГД на ЕКС Цифрового тенге.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КК направляет заявку на погашение цифрового тенге на основе заявки КГД.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lastRenderedPageBreak/>
        <w:t xml:space="preserve">НБ зачисляет сумму погашенных цифровых тенге на ЕКС Цифрового тенге, а также отправляет выписку согласно формата АО «НПК» по каналу связи АО «НПК».  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Согласием налогоплательщика - участника пилотного проекта на маркировку цифровых тенге в пилотном проекте является подтверждение платежа, привязанного к ЭСФ.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 w:eastAsia="ru-RU"/>
        </w:rPr>
      </w:pPr>
      <w:r w:rsidRPr="00A96361">
        <w:rPr>
          <w:sz w:val="28"/>
          <w:szCs w:val="28"/>
          <w:lang w:val="ru-RU"/>
        </w:rPr>
        <w:t xml:space="preserve">9. </w:t>
      </w:r>
      <w:r w:rsidRPr="00A96361">
        <w:rPr>
          <w:sz w:val="28"/>
          <w:szCs w:val="28"/>
          <w:lang w:val="ru-RU" w:eastAsia="ru-RU"/>
        </w:rPr>
        <w:t xml:space="preserve">Система при получении платёжного документа </w:t>
      </w:r>
      <w:r>
        <w:rPr>
          <w:sz w:val="28"/>
          <w:szCs w:val="28"/>
          <w:lang w:val="ru-RU" w:eastAsia="ru-RU"/>
        </w:rPr>
        <w:t xml:space="preserve">                          </w:t>
      </w:r>
      <w:r w:rsidRPr="00A96361">
        <w:rPr>
          <w:sz w:val="28"/>
          <w:szCs w:val="28"/>
          <w:lang w:val="ru-RU" w:eastAsia="ru-RU"/>
        </w:rPr>
        <w:t xml:space="preserve">налогоплательщика-участника пилотного проекта осуществляет его проверку на правильность привязки платежа к соответствующему ЭСФ. 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 w:eastAsia="ru-RU"/>
        </w:rPr>
      </w:pPr>
      <w:r w:rsidRPr="00A96361">
        <w:rPr>
          <w:sz w:val="28"/>
          <w:szCs w:val="28"/>
          <w:lang w:val="ru-RU" w:eastAsia="ru-RU"/>
        </w:rPr>
        <w:t xml:space="preserve">В случае положительного результата прохождения проверки формируется сообщение-ответ </w:t>
      </w:r>
      <w:bookmarkStart w:id="22" w:name="_Hlk172109140"/>
      <w:r w:rsidRPr="00A96361">
        <w:rPr>
          <w:sz w:val="28"/>
          <w:szCs w:val="28"/>
          <w:lang w:val="ru-RU" w:eastAsia="ru-RU"/>
        </w:rPr>
        <w:t xml:space="preserve">со статусом «Платежный документ подтвержден» </w:t>
      </w:r>
      <w:bookmarkEnd w:id="22"/>
      <w:r w:rsidRPr="00A96361">
        <w:rPr>
          <w:sz w:val="28"/>
          <w:szCs w:val="28"/>
          <w:lang w:val="ru-RU" w:eastAsia="ru-RU"/>
        </w:rPr>
        <w:t xml:space="preserve">и направляется в БВУ. 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 w:eastAsia="ru-RU"/>
        </w:rPr>
      </w:pPr>
      <w:r w:rsidRPr="00A96361">
        <w:rPr>
          <w:sz w:val="28"/>
          <w:szCs w:val="28"/>
          <w:lang w:val="ru-RU" w:eastAsia="ru-RU"/>
        </w:rPr>
        <w:t xml:space="preserve">В случае </w:t>
      </w:r>
      <w:bookmarkStart w:id="23" w:name="_Hlk172109684"/>
      <w:r w:rsidRPr="00A96361">
        <w:rPr>
          <w:sz w:val="28"/>
          <w:szCs w:val="28"/>
          <w:lang w:val="ru-RU" w:eastAsia="ru-RU"/>
        </w:rPr>
        <w:t xml:space="preserve">отрицательного результата прохождения проверки </w:t>
      </w:r>
      <w:bookmarkEnd w:id="23"/>
      <w:r w:rsidRPr="00A96361">
        <w:rPr>
          <w:sz w:val="28"/>
          <w:szCs w:val="28"/>
          <w:lang w:val="ru-RU" w:eastAsia="ru-RU"/>
        </w:rPr>
        <w:t>формируется сообщение-ответ со статусом «Платежный документ не подтвержден» и направляется в БВУ.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 w:eastAsia="ru-RU"/>
        </w:rPr>
      </w:pPr>
      <w:r w:rsidRPr="00A96361">
        <w:rPr>
          <w:sz w:val="28"/>
          <w:szCs w:val="28"/>
          <w:lang w:val="ru-RU" w:eastAsia="ru-RU"/>
        </w:rPr>
        <w:t xml:space="preserve">10. БВУ получает платежный документ и исполняет его путем перечисления цифровых тенге с цифрового счета налогоплательщика– участника пилотного проекта на цифровой счет налогоплательщика –поставщика </w:t>
      </w:r>
      <w:r w:rsidRPr="00A96361">
        <w:rPr>
          <w:sz w:val="28"/>
          <w:szCs w:val="28"/>
          <w:lang w:val="ru-RU"/>
        </w:rPr>
        <w:t xml:space="preserve">товаров, участвующего в </w:t>
      </w:r>
      <w:r w:rsidRPr="00A96361">
        <w:rPr>
          <w:sz w:val="28"/>
          <w:szCs w:val="28"/>
          <w:lang w:val="ru-RU" w:eastAsia="ru-RU"/>
        </w:rPr>
        <w:t>пилотном проекте.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 w:eastAsia="ru-RU"/>
        </w:rPr>
      </w:pPr>
      <w:r w:rsidRPr="00A96361">
        <w:rPr>
          <w:sz w:val="28"/>
          <w:szCs w:val="28"/>
          <w:lang w:val="ru-RU" w:eastAsia="ru-RU"/>
        </w:rPr>
        <w:t xml:space="preserve">В случае наличия статуса «Платежный документ не подтвержден» направляется сообщение налогоплательщику </w:t>
      </w:r>
      <w:r w:rsidRPr="00A96361">
        <w:rPr>
          <w:sz w:val="28"/>
          <w:szCs w:val="28"/>
          <w:lang w:val="ru-RU"/>
        </w:rPr>
        <w:t>– участнику пилотного проекта</w:t>
      </w:r>
      <w:r w:rsidRPr="00A96361">
        <w:rPr>
          <w:sz w:val="28"/>
          <w:szCs w:val="28"/>
          <w:lang w:val="ru-RU" w:eastAsia="ru-RU"/>
        </w:rPr>
        <w:t xml:space="preserve"> по данному статусу.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 w:eastAsia="ru-RU"/>
        </w:rPr>
      </w:pPr>
      <w:r w:rsidRPr="00A96361">
        <w:rPr>
          <w:sz w:val="28"/>
          <w:szCs w:val="28"/>
          <w:lang w:val="ru-RU" w:eastAsia="ru-RU"/>
        </w:rPr>
        <w:t>11</w:t>
      </w:r>
      <w:r>
        <w:rPr>
          <w:sz w:val="28"/>
          <w:szCs w:val="28"/>
          <w:lang w:val="ru-RU" w:eastAsia="ru-RU"/>
        </w:rPr>
        <w:t>. Налогоплательщик-</w:t>
      </w:r>
      <w:r w:rsidRPr="00A96361">
        <w:rPr>
          <w:sz w:val="28"/>
          <w:szCs w:val="28"/>
          <w:lang w:val="ru-RU"/>
        </w:rPr>
        <w:t>участник пилотного проекта</w:t>
      </w:r>
      <w:r w:rsidRPr="00A96361">
        <w:rPr>
          <w:sz w:val="28"/>
          <w:szCs w:val="28"/>
          <w:lang w:val="ru-RU" w:eastAsia="ru-RU"/>
        </w:rPr>
        <w:t xml:space="preserve"> по своему усмотрению конвертирует немаркированные цифровые тенге на свой текущий счет в БВУ. </w:t>
      </w:r>
    </w:p>
    <w:p w:rsidR="009D0066" w:rsidRPr="00A96361" w:rsidRDefault="009D0066" w:rsidP="009D0066">
      <w:pPr>
        <w:spacing w:after="0" w:line="240" w:lineRule="auto"/>
        <w:ind w:firstLine="709"/>
        <w:jc w:val="center"/>
        <w:rPr>
          <w:sz w:val="28"/>
          <w:szCs w:val="28"/>
          <w:lang w:val="ru-RU" w:eastAsia="ru-RU"/>
        </w:rPr>
      </w:pPr>
    </w:p>
    <w:p w:rsidR="009D0066" w:rsidRPr="00A96361" w:rsidRDefault="009D0066" w:rsidP="009D0066">
      <w:pPr>
        <w:spacing w:after="0" w:line="240" w:lineRule="auto"/>
        <w:ind w:firstLine="709"/>
        <w:jc w:val="center"/>
        <w:rPr>
          <w:sz w:val="28"/>
          <w:szCs w:val="28"/>
          <w:lang w:val="ru-RU" w:eastAsia="ru-RU"/>
        </w:rPr>
      </w:pPr>
    </w:p>
    <w:p w:rsidR="009D0066" w:rsidRPr="00A96361" w:rsidRDefault="009D0066" w:rsidP="009D0066">
      <w:pPr>
        <w:spacing w:after="0" w:line="240" w:lineRule="auto"/>
        <w:ind w:firstLine="709"/>
        <w:jc w:val="center"/>
        <w:rPr>
          <w:b/>
          <w:sz w:val="28"/>
          <w:szCs w:val="28"/>
          <w:lang w:val="ru-RU"/>
        </w:rPr>
      </w:pPr>
      <w:r w:rsidRPr="00A96361">
        <w:rPr>
          <w:b/>
          <w:sz w:val="28"/>
          <w:szCs w:val="28"/>
          <w:lang w:val="ru-RU"/>
        </w:rPr>
        <w:t xml:space="preserve">Глава 5. Порядок возврата суммы превышения НДС </w:t>
      </w:r>
    </w:p>
    <w:p w:rsidR="009D0066" w:rsidRPr="00A96361" w:rsidRDefault="009D0066" w:rsidP="009D0066">
      <w:pPr>
        <w:spacing w:after="0" w:line="240" w:lineRule="auto"/>
        <w:ind w:firstLine="709"/>
        <w:jc w:val="center"/>
        <w:rPr>
          <w:b/>
          <w:sz w:val="28"/>
          <w:szCs w:val="28"/>
          <w:lang w:val="ru-RU"/>
        </w:rPr>
      </w:pP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24" w:name="z44"/>
      <w:r w:rsidRPr="00A96361">
        <w:rPr>
          <w:sz w:val="28"/>
          <w:szCs w:val="28"/>
          <w:lang w:val="ru-RU"/>
        </w:rPr>
        <w:t>12. Право на возврат суммы превышения НДС в порядке, установленном настоящими Правилами, имеют следующие налогоплательщики - участники пилотного проекта: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1) реализующие товары на экспорт;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2) реализующие горюче-смазочные материалы иностранным авиакомпаниям, выполняющим международные полеты, международные воздушные перевозки, для заправки воздушных судов;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3) реализующие НБ аффинированное золото, произведенное из сырья, добытого налогоплательщиком самостоятельно или приобретенного в собственность с целью переработки;</w:t>
      </w:r>
    </w:p>
    <w:p w:rsidR="009D0066" w:rsidRPr="00A96361" w:rsidRDefault="009D0066" w:rsidP="009D0066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Cs/>
          <w:sz w:val="28"/>
          <w:szCs w:val="28"/>
          <w:bdr w:val="none" w:sz="0" w:space="0" w:color="auto" w:frame="1"/>
          <w:lang w:eastAsia="en-US"/>
        </w:rPr>
      </w:pPr>
      <w:r w:rsidRPr="00A96361">
        <w:rPr>
          <w:bCs/>
          <w:sz w:val="28"/>
          <w:szCs w:val="28"/>
          <w:bdr w:val="none" w:sz="0" w:space="0" w:color="auto" w:frame="1"/>
          <w:lang w:eastAsia="en-US"/>
        </w:rPr>
        <w:t>1</w:t>
      </w:r>
      <w:r w:rsidRPr="00A96361">
        <w:rPr>
          <w:bCs/>
          <w:sz w:val="28"/>
          <w:szCs w:val="28"/>
          <w:bdr w:val="none" w:sz="0" w:space="0" w:color="auto" w:frame="1"/>
          <w:lang w:val="kk-KZ" w:eastAsia="en-US"/>
        </w:rPr>
        <w:t>3</w:t>
      </w:r>
      <w:r w:rsidRPr="00A96361">
        <w:rPr>
          <w:bCs/>
          <w:sz w:val="28"/>
          <w:szCs w:val="28"/>
          <w:bdr w:val="none" w:sz="0" w:space="0" w:color="auto" w:frame="1"/>
          <w:lang w:eastAsia="en-US"/>
        </w:rPr>
        <w:t xml:space="preserve">. Возврат суммы превышения НДС производится на основании требования о возврате суммы превышения НДС, указанного в декларации по НДС за налоговый период, в течение пятнадцати рабочих дней без проведения налоговой проверки. </w:t>
      </w:r>
    </w:p>
    <w:p w:rsidR="009D0066" w:rsidRPr="00A96361" w:rsidRDefault="009D0066" w:rsidP="009D0066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Cs/>
          <w:sz w:val="28"/>
          <w:szCs w:val="28"/>
          <w:bdr w:val="none" w:sz="0" w:space="0" w:color="auto" w:frame="1"/>
          <w:lang w:eastAsia="en-US"/>
        </w:rPr>
      </w:pPr>
      <w:r w:rsidRPr="00A96361">
        <w:rPr>
          <w:bCs/>
          <w:sz w:val="28"/>
          <w:szCs w:val="28"/>
          <w:bdr w:val="none" w:sz="0" w:space="0" w:color="auto" w:frame="1"/>
          <w:lang w:eastAsia="en-US"/>
        </w:rPr>
        <w:lastRenderedPageBreak/>
        <w:t>При этом в течение срока возврата суммы превышения НДС начинается после истечения тридцати календарных дней со срока, установленного для представления декларации по НДС в соответствии с пунктом 1 статьи 424 Налогового кодекса РК.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bCs/>
          <w:sz w:val="28"/>
          <w:szCs w:val="28"/>
          <w:bdr w:val="none" w:sz="0" w:space="0" w:color="auto" w:frame="1"/>
          <w:lang w:val="ru-RU"/>
        </w:rPr>
      </w:pPr>
      <w:r w:rsidRPr="00A96361">
        <w:rPr>
          <w:sz w:val="28"/>
          <w:szCs w:val="28"/>
          <w:lang w:val="ru-RU" w:eastAsia="ru-RU"/>
        </w:rPr>
        <w:t>14. Возврат суммы превышения НДС ос</w:t>
      </w:r>
      <w:r>
        <w:rPr>
          <w:sz w:val="28"/>
          <w:szCs w:val="28"/>
          <w:lang w:val="ru-RU" w:eastAsia="ru-RU"/>
        </w:rPr>
        <w:t>уществляется налогоплательщикам-</w:t>
      </w:r>
      <w:r w:rsidRPr="00A96361">
        <w:rPr>
          <w:sz w:val="28"/>
          <w:szCs w:val="28"/>
          <w:lang w:val="ru-RU"/>
        </w:rPr>
        <w:t>участникам пилотного проекта</w:t>
      </w:r>
      <w:r w:rsidRPr="00A96361">
        <w:rPr>
          <w:bCs/>
          <w:sz w:val="28"/>
          <w:szCs w:val="28"/>
          <w:bdr w:val="none" w:sz="0" w:space="0" w:color="auto" w:frame="1"/>
          <w:lang w:val="ru-RU"/>
        </w:rPr>
        <w:t xml:space="preserve">, указанным в пункте 12 настоящих Правил, в части суммы превышения НДС, сложившегося по приобретенным (полученным) товарам от их непосредственных поставщиков, расчет суммы НДС по которым произведен с использованием цифровых счетов в Системе, и использованных в целях оборотов, облагаемых по нулевой ставке, а также при условии исполнения непосредственными поставщиками налоговых обязательств по представлению декларации по НДС.   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bCs/>
          <w:sz w:val="28"/>
          <w:szCs w:val="28"/>
          <w:bdr w:val="none" w:sz="0" w:space="0" w:color="auto" w:frame="1"/>
          <w:lang w:val="ru-RU"/>
        </w:rPr>
      </w:pPr>
      <w:r w:rsidRPr="00A96361">
        <w:rPr>
          <w:bCs/>
          <w:sz w:val="28"/>
          <w:szCs w:val="28"/>
          <w:bdr w:val="none" w:sz="0" w:space="0" w:color="auto" w:frame="1"/>
          <w:lang w:val="ru-RU"/>
        </w:rPr>
        <w:t>15. Подтверждение достоверности суммы превышения НДС, предъявленной к возврату, производится на основании данных, имеющихся в информационных системах органов государственных доходов и НБ.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bCs/>
          <w:sz w:val="28"/>
          <w:szCs w:val="28"/>
          <w:bdr w:val="none" w:sz="0" w:space="0" w:color="auto" w:frame="1"/>
          <w:lang w:val="ru-RU"/>
        </w:rPr>
      </w:pPr>
      <w:r w:rsidRPr="00A96361">
        <w:rPr>
          <w:bCs/>
          <w:sz w:val="28"/>
          <w:szCs w:val="28"/>
          <w:bdr w:val="none" w:sz="0" w:space="0" w:color="auto" w:frame="1"/>
          <w:lang w:val="ru-RU"/>
        </w:rPr>
        <w:t>По результатам камерального контроля составляется заключение, в котором отражается подтвержденная сумма НДС к возврату и остаток суммы НДС не подтвержденной.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bCs/>
          <w:sz w:val="28"/>
          <w:szCs w:val="28"/>
          <w:bdr w:val="none" w:sz="0" w:space="0" w:color="auto" w:frame="1"/>
          <w:lang w:val="ru-RU"/>
        </w:rPr>
      </w:pPr>
      <w:r w:rsidRPr="00A96361">
        <w:rPr>
          <w:bCs/>
          <w:sz w:val="28"/>
          <w:szCs w:val="28"/>
          <w:bdr w:val="none" w:sz="0" w:space="0" w:color="auto" w:frame="1"/>
          <w:lang w:val="ru-RU"/>
        </w:rPr>
        <w:t xml:space="preserve"> Заключение составляется в количестве двух экземпляров и подписывается должностными лицами органа государственных доходов. Один экземпляр заключен</w:t>
      </w:r>
      <w:r>
        <w:rPr>
          <w:bCs/>
          <w:sz w:val="28"/>
          <w:szCs w:val="28"/>
          <w:bdr w:val="none" w:sz="0" w:space="0" w:color="auto" w:frame="1"/>
          <w:lang w:val="ru-RU"/>
        </w:rPr>
        <w:t>ия вручается налогоплательщику-</w:t>
      </w:r>
      <w:r w:rsidRPr="00A96361">
        <w:rPr>
          <w:sz w:val="28"/>
          <w:szCs w:val="28"/>
          <w:lang w:val="ru-RU"/>
        </w:rPr>
        <w:t xml:space="preserve">участнику пилотного проекта, указанному в пункте 12 настоящих Правил, </w:t>
      </w:r>
      <w:r w:rsidRPr="00A96361">
        <w:rPr>
          <w:bCs/>
          <w:sz w:val="28"/>
          <w:szCs w:val="28"/>
          <w:bdr w:val="none" w:sz="0" w:space="0" w:color="auto" w:frame="1"/>
          <w:lang w:val="ru-RU"/>
        </w:rPr>
        <w:t>не позднее 1 (одного) рабочего дня после его составления, который ставит отметку на другом экземпляре о получении заключения.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bCs/>
          <w:sz w:val="28"/>
          <w:szCs w:val="28"/>
          <w:bdr w:val="none" w:sz="0" w:space="0" w:color="auto" w:frame="1"/>
          <w:lang w:val="ru-RU"/>
        </w:rPr>
      </w:pPr>
      <w:r w:rsidRPr="00A96361">
        <w:rPr>
          <w:bCs/>
          <w:sz w:val="28"/>
          <w:szCs w:val="28"/>
          <w:bdr w:val="none" w:sz="0" w:space="0" w:color="auto" w:frame="1"/>
          <w:lang w:val="ru-RU"/>
        </w:rPr>
        <w:t>В с</w:t>
      </w:r>
      <w:r>
        <w:rPr>
          <w:bCs/>
          <w:sz w:val="28"/>
          <w:szCs w:val="28"/>
          <w:bdr w:val="none" w:sz="0" w:space="0" w:color="auto" w:frame="1"/>
          <w:lang w:val="ru-RU"/>
        </w:rPr>
        <w:t>лучае неявки налогоплательщика-</w:t>
      </w:r>
      <w:r w:rsidRPr="00A96361">
        <w:rPr>
          <w:sz w:val="28"/>
          <w:szCs w:val="28"/>
          <w:lang w:val="ru-RU"/>
        </w:rPr>
        <w:t>участника пилотного проекта, указанного в пункте 12 настоящих Правил,</w:t>
      </w:r>
      <w:r w:rsidRPr="00A96361">
        <w:rPr>
          <w:bCs/>
          <w:sz w:val="28"/>
          <w:szCs w:val="28"/>
          <w:bdr w:val="none" w:sz="0" w:space="0" w:color="auto" w:frame="1"/>
          <w:lang w:val="ru-RU"/>
        </w:rPr>
        <w:t xml:space="preserve"> один экземпляр заключения направляется ему по почте заказным письмом с уведомлением.</w:t>
      </w:r>
    </w:p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При этом возврат суммы превышения НДС осуществляется налогоплательщику - участнику пилотного проекта в соответствии со статьей 104 Налогового кодекса на его банковский счет в национальной валюте – тенге посредством Межбанковской системы переводов денег без использования Системы.</w:t>
      </w:r>
    </w:p>
    <w:p w:rsidR="009D0066" w:rsidRPr="00A96361" w:rsidRDefault="009D0066" w:rsidP="009D0066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Cs/>
          <w:sz w:val="28"/>
          <w:szCs w:val="28"/>
          <w:bdr w:val="none" w:sz="0" w:space="0" w:color="auto" w:frame="1"/>
          <w:lang w:eastAsia="en-US"/>
        </w:rPr>
      </w:pPr>
      <w:r w:rsidRPr="00A96361">
        <w:rPr>
          <w:bCs/>
          <w:sz w:val="28"/>
          <w:szCs w:val="28"/>
          <w:bdr w:val="none" w:sz="0" w:space="0" w:color="auto" w:frame="1"/>
          <w:lang w:eastAsia="en-US"/>
        </w:rPr>
        <w:t>В случае не подтверждения достоверности суммы п</w:t>
      </w:r>
      <w:r>
        <w:rPr>
          <w:bCs/>
          <w:sz w:val="28"/>
          <w:szCs w:val="28"/>
          <w:bdr w:val="none" w:sz="0" w:space="0" w:color="auto" w:frame="1"/>
          <w:lang w:eastAsia="en-US"/>
        </w:rPr>
        <w:t>ревышения НДС налогоплательщику</w:t>
      </w:r>
      <w:r w:rsidRPr="00A96361">
        <w:rPr>
          <w:bCs/>
          <w:sz w:val="28"/>
          <w:szCs w:val="28"/>
          <w:bdr w:val="none" w:sz="0" w:space="0" w:color="auto" w:frame="1"/>
          <w:lang w:eastAsia="en-US"/>
        </w:rPr>
        <w:t>-</w:t>
      </w:r>
      <w:r w:rsidRPr="00A96361">
        <w:rPr>
          <w:sz w:val="28"/>
          <w:szCs w:val="28"/>
        </w:rPr>
        <w:t>участнику пилотного проекта,</w:t>
      </w:r>
      <w:r w:rsidRPr="00A96361">
        <w:rPr>
          <w:bCs/>
          <w:sz w:val="28"/>
          <w:szCs w:val="28"/>
          <w:bdr w:val="none" w:sz="0" w:space="0" w:color="auto" w:frame="1"/>
          <w:lang w:eastAsia="en-US"/>
        </w:rPr>
        <w:t xml:space="preserve"> направляется письмо об отсутствии права на возврат превышения НДС и о праве применения ими порядка возврата превышения НДС, предусмотренного </w:t>
      </w:r>
      <w:hyperlink r:id="rId4" w:anchor="z429" w:history="1">
        <w:r w:rsidRPr="00A96361">
          <w:rPr>
            <w:bCs/>
            <w:sz w:val="28"/>
            <w:szCs w:val="28"/>
            <w:bdr w:val="none" w:sz="0" w:space="0" w:color="auto" w:frame="1"/>
            <w:lang w:eastAsia="en-US"/>
          </w:rPr>
          <w:t>статьями 429</w:t>
        </w:r>
      </w:hyperlink>
      <w:r w:rsidRPr="00A96361">
        <w:rPr>
          <w:bCs/>
          <w:sz w:val="28"/>
          <w:szCs w:val="28"/>
          <w:bdr w:val="none" w:sz="0" w:space="0" w:color="auto" w:frame="1"/>
          <w:lang w:eastAsia="en-US"/>
        </w:rPr>
        <w:t>, </w:t>
      </w:r>
      <w:hyperlink r:id="rId5" w:anchor="z431" w:history="1">
        <w:r w:rsidRPr="00A96361">
          <w:rPr>
            <w:bCs/>
            <w:sz w:val="28"/>
            <w:szCs w:val="28"/>
            <w:bdr w:val="none" w:sz="0" w:space="0" w:color="auto" w:frame="1"/>
            <w:lang w:eastAsia="en-US"/>
          </w:rPr>
          <w:t>431</w:t>
        </w:r>
      </w:hyperlink>
      <w:r w:rsidRPr="00A96361">
        <w:rPr>
          <w:bCs/>
          <w:sz w:val="28"/>
          <w:szCs w:val="28"/>
          <w:bdr w:val="none" w:sz="0" w:space="0" w:color="auto" w:frame="1"/>
          <w:lang w:eastAsia="en-US"/>
        </w:rPr>
        <w:t> и </w:t>
      </w:r>
      <w:hyperlink r:id="rId6" w:anchor="z432" w:history="1">
        <w:r w:rsidRPr="00A96361">
          <w:rPr>
            <w:bCs/>
            <w:sz w:val="28"/>
            <w:szCs w:val="28"/>
            <w:bdr w:val="none" w:sz="0" w:space="0" w:color="auto" w:frame="1"/>
            <w:lang w:eastAsia="en-US"/>
          </w:rPr>
          <w:t>432</w:t>
        </w:r>
      </w:hyperlink>
      <w:r w:rsidRPr="00A96361">
        <w:rPr>
          <w:bCs/>
          <w:sz w:val="28"/>
          <w:szCs w:val="28"/>
          <w:bdr w:val="none" w:sz="0" w:space="0" w:color="auto" w:frame="1"/>
          <w:lang w:eastAsia="en-US"/>
        </w:rPr>
        <w:t> Налогового кодекса.</w:t>
      </w:r>
    </w:p>
    <w:p w:rsidR="009D0066" w:rsidRPr="00A96361" w:rsidRDefault="009D0066" w:rsidP="009D0066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Cs/>
          <w:sz w:val="28"/>
          <w:szCs w:val="28"/>
          <w:bdr w:val="none" w:sz="0" w:space="0" w:color="auto" w:frame="1"/>
          <w:lang w:eastAsia="en-US"/>
        </w:rPr>
      </w:pPr>
      <w:r w:rsidRPr="00A96361">
        <w:rPr>
          <w:bCs/>
          <w:sz w:val="28"/>
          <w:szCs w:val="28"/>
          <w:bdr w:val="none" w:sz="0" w:space="0" w:color="auto" w:frame="1"/>
          <w:lang w:eastAsia="en-US"/>
        </w:rPr>
        <w:t>Заключение, предусмотренное настоящими Правилами, не подлежит обжалованию.</w:t>
      </w:r>
    </w:p>
    <w:p w:rsidR="009D0066" w:rsidRPr="00A96361" w:rsidRDefault="009D0066" w:rsidP="009D0066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Cs/>
          <w:sz w:val="28"/>
          <w:szCs w:val="28"/>
          <w:bdr w:val="none" w:sz="0" w:space="0" w:color="auto" w:frame="1"/>
          <w:lang w:eastAsia="en-US"/>
        </w:rPr>
      </w:pPr>
      <w:r w:rsidRPr="00A96361">
        <w:rPr>
          <w:bCs/>
          <w:sz w:val="28"/>
          <w:szCs w:val="28"/>
          <w:bdr w:val="none" w:sz="0" w:space="0" w:color="auto" w:frame="1"/>
          <w:lang w:eastAsia="en-US"/>
        </w:rPr>
        <w:t>1</w:t>
      </w:r>
      <w:r w:rsidRPr="00A96361">
        <w:rPr>
          <w:bCs/>
          <w:sz w:val="28"/>
          <w:szCs w:val="28"/>
          <w:bdr w:val="none" w:sz="0" w:space="0" w:color="auto" w:frame="1"/>
          <w:lang w:val="kk-KZ" w:eastAsia="en-US"/>
        </w:rPr>
        <w:t>6</w:t>
      </w:r>
      <w:r w:rsidRPr="00A96361">
        <w:rPr>
          <w:bCs/>
          <w:sz w:val="28"/>
          <w:szCs w:val="28"/>
          <w:bdr w:val="none" w:sz="0" w:space="0" w:color="auto" w:frame="1"/>
          <w:lang w:eastAsia="en-US"/>
        </w:rPr>
        <w:t xml:space="preserve">. Положения настоящей Главы не применяются при возврате превышения НДС налогоплательщикам – участникам пилотного проекта в соответствии со статьей 434 Налогового кодекса. </w:t>
      </w:r>
    </w:p>
    <w:p w:rsidR="009D0066" w:rsidRPr="00A96361" w:rsidRDefault="009D0066" w:rsidP="009D0066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Cs/>
          <w:sz w:val="28"/>
          <w:szCs w:val="28"/>
          <w:bdr w:val="none" w:sz="0" w:space="0" w:color="auto" w:frame="1"/>
          <w:lang w:eastAsia="en-US"/>
        </w:rPr>
      </w:pPr>
    </w:p>
    <w:p w:rsidR="009D0066" w:rsidRPr="00A96361" w:rsidRDefault="009D0066" w:rsidP="009D0066">
      <w:pPr>
        <w:pStyle w:val="a6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bdr w:val="none" w:sz="0" w:space="0" w:color="auto" w:frame="1"/>
          <w:lang w:eastAsia="en-US"/>
        </w:rPr>
      </w:pPr>
      <w:r w:rsidRPr="00A96361">
        <w:rPr>
          <w:b/>
          <w:bCs/>
          <w:sz w:val="28"/>
          <w:szCs w:val="28"/>
          <w:bdr w:val="none" w:sz="0" w:space="0" w:color="auto" w:frame="1"/>
          <w:lang w:eastAsia="en-US"/>
        </w:rPr>
        <w:lastRenderedPageBreak/>
        <w:t>Глава 6. Заключительное положение</w:t>
      </w:r>
    </w:p>
    <w:p w:rsidR="009D0066" w:rsidRPr="00A96361" w:rsidRDefault="009D0066" w:rsidP="009D0066">
      <w:pPr>
        <w:pStyle w:val="a6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bdr w:val="none" w:sz="0" w:space="0" w:color="auto" w:frame="1"/>
          <w:lang w:eastAsia="en-US"/>
        </w:rPr>
      </w:pPr>
    </w:p>
    <w:bookmarkEnd w:id="20"/>
    <w:bookmarkEnd w:id="24"/>
    <w:p w:rsidR="009D0066" w:rsidRPr="00A96361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 xml:space="preserve">17. Вопросы, возникающие в ходе пилотного проекта, рассматриваются Рабочей группой по вопросам пилотного проекта, организация и порядок деятельности которой утверждается КГД. </w:t>
      </w:r>
    </w:p>
    <w:p w:rsidR="009D0066" w:rsidRPr="007862CE" w:rsidRDefault="009D0066" w:rsidP="009D006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A96361">
        <w:rPr>
          <w:sz w:val="28"/>
          <w:szCs w:val="28"/>
          <w:lang w:val="ru-RU"/>
        </w:rPr>
        <w:t>Результаты заседания Рабочей группы оформляются протоколом, обязательным для заинтересованных участников пилотного проекта.</w:t>
      </w:r>
    </w:p>
    <w:p w:rsidR="009D0066" w:rsidRPr="007862CE" w:rsidRDefault="009D0066" w:rsidP="009D0066">
      <w:pPr>
        <w:rPr>
          <w:sz w:val="28"/>
          <w:szCs w:val="28"/>
          <w:lang w:val="ru-RU"/>
        </w:rPr>
      </w:pPr>
    </w:p>
    <w:p w:rsidR="005B0D83" w:rsidRPr="009D0066" w:rsidRDefault="005B0D83">
      <w:pPr>
        <w:rPr>
          <w:lang w:val="ru-RU"/>
        </w:rPr>
      </w:pPr>
    </w:p>
    <w:sectPr w:rsidR="005B0D83" w:rsidRPr="009D0066" w:rsidSect="009D0066">
      <w:headerReference w:type="default" r:id="rId7"/>
      <w:pgSz w:w="11906" w:h="16838"/>
      <w:pgMar w:top="1418" w:right="851" w:bottom="1134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581708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67B62" w:rsidRPr="00367B62" w:rsidRDefault="009D0066">
        <w:pPr>
          <w:pStyle w:val="a3"/>
          <w:jc w:val="center"/>
          <w:rPr>
            <w:sz w:val="28"/>
            <w:szCs w:val="28"/>
          </w:rPr>
        </w:pPr>
        <w:r w:rsidRPr="00367B62">
          <w:rPr>
            <w:sz w:val="28"/>
            <w:szCs w:val="28"/>
          </w:rPr>
          <w:fldChar w:fldCharType="begin"/>
        </w:r>
        <w:r w:rsidRPr="00367B62">
          <w:rPr>
            <w:sz w:val="28"/>
            <w:szCs w:val="28"/>
          </w:rPr>
          <w:instrText>PAGE   \* MERGEFORMAT</w:instrText>
        </w:r>
        <w:r w:rsidRPr="00367B62">
          <w:rPr>
            <w:sz w:val="28"/>
            <w:szCs w:val="28"/>
          </w:rPr>
          <w:fldChar w:fldCharType="separate"/>
        </w:r>
        <w:r w:rsidRPr="009D0066">
          <w:rPr>
            <w:noProof/>
            <w:sz w:val="28"/>
            <w:szCs w:val="28"/>
            <w:lang w:val="ru-RU"/>
          </w:rPr>
          <w:t>7</w:t>
        </w:r>
        <w:r w:rsidRPr="00367B62">
          <w:rPr>
            <w:sz w:val="28"/>
            <w:szCs w:val="28"/>
          </w:rPr>
          <w:fldChar w:fldCharType="end"/>
        </w:r>
      </w:p>
    </w:sdtContent>
  </w:sdt>
  <w:p w:rsidR="000226D9" w:rsidRPr="00044A27" w:rsidRDefault="009D0066" w:rsidP="008E6830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B78"/>
    <w:rsid w:val="005B0D83"/>
    <w:rsid w:val="006522E6"/>
    <w:rsid w:val="007A5250"/>
    <w:rsid w:val="00875B3B"/>
    <w:rsid w:val="009D0066"/>
    <w:rsid w:val="00C6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DB777"/>
  <w15:chartTrackingRefBased/>
  <w15:docId w15:val="{BD1BAC13-211D-4A81-8B8A-940C03D85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066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066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0066"/>
    <w:rPr>
      <w:rFonts w:ascii="Times New Roman" w:eastAsia="Times New Roman" w:hAnsi="Times New Roman" w:cs="Times New Roman"/>
      <w:lang w:val="en-US"/>
    </w:rPr>
  </w:style>
  <w:style w:type="paragraph" w:styleId="a5">
    <w:name w:val="List Paragraph"/>
    <w:basedOn w:val="a"/>
    <w:uiPriority w:val="34"/>
    <w:unhideWhenUsed/>
    <w:qFormat/>
    <w:rsid w:val="009D006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D0066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K1700000120" TargetMode="External"/><Relationship Id="rId5" Type="http://schemas.openxmlformats.org/officeDocument/2006/relationships/hyperlink" Target="http://adilet.zan.kz/rus/docs/K1700000120" TargetMode="External"/><Relationship Id="rId4" Type="http://schemas.openxmlformats.org/officeDocument/2006/relationships/hyperlink" Target="http://adilet.zan.kz/rus/docs/K170000012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2020</Words>
  <Characters>11518</Characters>
  <Application>Microsoft Office Word</Application>
  <DocSecurity>0</DocSecurity>
  <Lines>95</Lines>
  <Paragraphs>27</Paragraphs>
  <ScaleCrop>false</ScaleCrop>
  <Company/>
  <LinksUpToDate>false</LinksUpToDate>
  <CharactersWithSpaces>13511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Нарматова Назгуль Нурбековна</dc:creator>
  <cp:keywords/>
  <dc:description/>
  <cp:lastModifiedBy>Нарматова Назгуль Нурбековна</cp:lastModifiedBy>
  <cp:revision>2</cp:revision>
  <dcterms:created xsi:type="dcterms:W3CDTF">2024-08-16T11:55:00Z</dcterms:created>
  <dcterms:modified xsi:type="dcterms:W3CDTF">2024-08-16T11:58:00Z</dcterms:modified>
</cp:coreProperties>
</file>